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Občina Ajdovščina, Cesta 5. maja 6/a, 5270 Ajdovščina</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 xml:space="preserve">ki jo zastopa župan Tadej Beočanin, </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 xml:space="preserve">matična številka 5879914,  davčna številka SI5153325, </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 xml:space="preserve">račun 01201-010001459, v nadaljevanju </w:t>
      </w:r>
      <w:r w:rsidR="000417D6" w:rsidRPr="009A4A86">
        <w:rPr>
          <w:rFonts w:asciiTheme="majorHAnsi" w:hAnsiTheme="majorHAnsi" w:cstheme="majorHAnsi"/>
          <w:szCs w:val="24"/>
        </w:rPr>
        <w:t>prodajalec</w:t>
      </w:r>
      <w:r w:rsidRPr="009A4A86">
        <w:rPr>
          <w:rFonts w:asciiTheme="majorHAnsi" w:hAnsiTheme="majorHAnsi" w:cstheme="majorHAnsi"/>
          <w:szCs w:val="24"/>
        </w:rPr>
        <w:t xml:space="preserve"> </w:t>
      </w:r>
    </w:p>
    <w:p w:rsidR="00473A75" w:rsidRPr="009A4A86" w:rsidRDefault="00473A75" w:rsidP="00473A75">
      <w:pPr>
        <w:spacing w:after="0"/>
        <w:jc w:val="center"/>
        <w:rPr>
          <w:rFonts w:asciiTheme="majorHAnsi" w:hAnsiTheme="majorHAnsi" w:cstheme="majorHAnsi"/>
          <w:szCs w:val="24"/>
        </w:rPr>
      </w:pP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in</w:t>
      </w:r>
    </w:p>
    <w:p w:rsidR="00473A75" w:rsidRPr="009A4A86" w:rsidRDefault="00473A75" w:rsidP="00473A75">
      <w:pPr>
        <w:spacing w:after="0"/>
        <w:jc w:val="center"/>
        <w:rPr>
          <w:rFonts w:asciiTheme="majorHAnsi" w:hAnsiTheme="majorHAnsi" w:cstheme="majorHAnsi"/>
          <w:szCs w:val="24"/>
        </w:rPr>
      </w:pPr>
    </w:p>
    <w:p w:rsidR="00BA7483" w:rsidRPr="009A4A86" w:rsidRDefault="00BB511E" w:rsidP="00BA7483">
      <w:pPr>
        <w:spacing w:after="0"/>
        <w:jc w:val="center"/>
        <w:rPr>
          <w:rFonts w:asciiTheme="majorHAnsi" w:hAnsiTheme="majorHAnsi" w:cstheme="majorHAnsi"/>
          <w:bCs/>
          <w:szCs w:val="24"/>
        </w:rPr>
      </w:pPr>
      <w:r w:rsidRPr="009A4A86">
        <w:rPr>
          <w:rFonts w:asciiTheme="majorHAnsi" w:hAnsiTheme="majorHAnsi" w:cstheme="majorHAnsi"/>
          <w:bCs/>
          <w:szCs w:val="24"/>
        </w:rPr>
        <w:t>…………</w:t>
      </w:r>
      <w:r w:rsidR="00BA7483" w:rsidRPr="009A4A86">
        <w:rPr>
          <w:rFonts w:asciiTheme="majorHAnsi" w:hAnsiTheme="majorHAnsi" w:cstheme="majorHAnsi"/>
          <w:bCs/>
          <w:szCs w:val="24"/>
        </w:rPr>
        <w:t xml:space="preserve">, </w:t>
      </w:r>
      <w:r w:rsidRPr="009A4A86">
        <w:rPr>
          <w:rFonts w:asciiTheme="majorHAnsi" w:hAnsiTheme="majorHAnsi" w:cstheme="majorHAnsi"/>
          <w:bCs/>
          <w:szCs w:val="24"/>
        </w:rPr>
        <w:t>…………………..</w:t>
      </w:r>
      <w:r w:rsidR="00BA7483" w:rsidRPr="009A4A86">
        <w:rPr>
          <w:rFonts w:asciiTheme="majorHAnsi" w:hAnsiTheme="majorHAnsi" w:cstheme="majorHAnsi"/>
          <w:bCs/>
          <w:szCs w:val="24"/>
        </w:rPr>
        <w:t xml:space="preserve">, </w:t>
      </w:r>
    </w:p>
    <w:p w:rsidR="00473A75" w:rsidRPr="009A4A86" w:rsidRDefault="00BA7483" w:rsidP="00BA7483">
      <w:pPr>
        <w:spacing w:after="0"/>
        <w:jc w:val="center"/>
        <w:rPr>
          <w:rFonts w:asciiTheme="majorHAnsi" w:hAnsiTheme="majorHAnsi" w:cstheme="majorHAnsi"/>
          <w:szCs w:val="24"/>
        </w:rPr>
      </w:pPr>
      <w:r w:rsidRPr="009A4A86">
        <w:rPr>
          <w:rFonts w:asciiTheme="majorHAnsi" w:hAnsiTheme="majorHAnsi" w:cstheme="majorHAnsi"/>
          <w:bCs/>
          <w:szCs w:val="24"/>
        </w:rPr>
        <w:t xml:space="preserve">EMŠO: </w:t>
      </w:r>
      <w:r w:rsidR="00BB511E" w:rsidRPr="009A4A86">
        <w:rPr>
          <w:rFonts w:asciiTheme="majorHAnsi" w:hAnsiTheme="majorHAnsi" w:cstheme="majorHAnsi"/>
          <w:bCs/>
          <w:szCs w:val="24"/>
        </w:rPr>
        <w:t>………………………</w:t>
      </w:r>
      <w:r w:rsidRPr="009A4A86">
        <w:rPr>
          <w:rFonts w:asciiTheme="majorHAnsi" w:hAnsiTheme="majorHAnsi" w:cstheme="majorHAnsi"/>
          <w:bCs/>
          <w:szCs w:val="24"/>
        </w:rPr>
        <w:t>, v nadaljevanju kupec</w:t>
      </w:r>
      <w:r w:rsidR="00473A75" w:rsidRPr="009A4A86">
        <w:rPr>
          <w:rFonts w:asciiTheme="majorHAnsi" w:hAnsiTheme="majorHAnsi" w:cstheme="majorHAnsi"/>
          <w:szCs w:val="24"/>
        </w:rPr>
        <w:t xml:space="preserve">         </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skleneta naslednjo:</w:t>
      </w:r>
    </w:p>
    <w:p w:rsidR="00473A75" w:rsidRPr="009A4A86" w:rsidRDefault="00473A75" w:rsidP="00473A75">
      <w:pPr>
        <w:spacing w:after="0"/>
        <w:jc w:val="center"/>
        <w:rPr>
          <w:rFonts w:asciiTheme="majorHAnsi" w:hAnsiTheme="majorHAnsi" w:cstheme="majorHAnsi"/>
          <w:szCs w:val="24"/>
        </w:rPr>
      </w:pPr>
    </w:p>
    <w:p w:rsidR="00473A75" w:rsidRPr="009A4A86" w:rsidRDefault="00473A75" w:rsidP="00473A75">
      <w:pPr>
        <w:spacing w:after="0"/>
        <w:jc w:val="center"/>
        <w:rPr>
          <w:rFonts w:asciiTheme="majorHAnsi" w:hAnsiTheme="majorHAnsi" w:cstheme="majorHAnsi"/>
          <w:szCs w:val="24"/>
        </w:rPr>
      </w:pPr>
    </w:p>
    <w:p w:rsidR="00B64C72" w:rsidRPr="009A4A86" w:rsidRDefault="00B64C72" w:rsidP="00473A75">
      <w:pPr>
        <w:spacing w:after="0"/>
        <w:jc w:val="center"/>
        <w:rPr>
          <w:rFonts w:asciiTheme="majorHAnsi" w:hAnsiTheme="majorHAnsi" w:cstheme="majorHAnsi"/>
          <w:szCs w:val="24"/>
        </w:rPr>
      </w:pPr>
    </w:p>
    <w:p w:rsidR="00B64C72" w:rsidRPr="009A4A86" w:rsidRDefault="00B64C72" w:rsidP="00473A75">
      <w:pPr>
        <w:spacing w:after="0"/>
        <w:jc w:val="center"/>
        <w:rPr>
          <w:rFonts w:asciiTheme="majorHAnsi" w:hAnsiTheme="majorHAnsi" w:cstheme="majorHAnsi"/>
          <w:szCs w:val="24"/>
        </w:rPr>
      </w:pPr>
    </w:p>
    <w:p w:rsidR="00473A75" w:rsidRPr="009A4A86" w:rsidRDefault="00473A75" w:rsidP="00473A75">
      <w:pPr>
        <w:spacing w:after="0"/>
        <w:jc w:val="center"/>
        <w:rPr>
          <w:rFonts w:asciiTheme="majorHAnsi" w:hAnsiTheme="majorHAnsi" w:cstheme="majorHAnsi"/>
          <w:b/>
          <w:bCs/>
          <w:szCs w:val="24"/>
        </w:rPr>
      </w:pPr>
      <w:r w:rsidRPr="009A4A86">
        <w:rPr>
          <w:rFonts w:asciiTheme="majorHAnsi" w:hAnsiTheme="majorHAnsi" w:cstheme="majorHAnsi"/>
          <w:b/>
          <w:bCs/>
          <w:szCs w:val="24"/>
        </w:rPr>
        <w:t>PRODAJNO POGODBO ŠT. 478-</w:t>
      </w:r>
      <w:r w:rsidR="00BB511E" w:rsidRPr="009A4A86">
        <w:rPr>
          <w:rFonts w:asciiTheme="majorHAnsi" w:hAnsiTheme="majorHAnsi" w:cstheme="majorHAnsi"/>
          <w:b/>
          <w:bCs/>
          <w:szCs w:val="24"/>
        </w:rPr>
        <w:t>173</w:t>
      </w:r>
      <w:r w:rsidR="00BA7483" w:rsidRPr="009A4A86">
        <w:rPr>
          <w:rFonts w:asciiTheme="majorHAnsi" w:hAnsiTheme="majorHAnsi" w:cstheme="majorHAnsi"/>
          <w:b/>
          <w:bCs/>
          <w:szCs w:val="24"/>
        </w:rPr>
        <w:t>/20</w:t>
      </w:r>
      <w:r w:rsidR="00BB511E" w:rsidRPr="009A4A86">
        <w:rPr>
          <w:rFonts w:asciiTheme="majorHAnsi" w:hAnsiTheme="majorHAnsi" w:cstheme="majorHAnsi"/>
          <w:b/>
          <w:bCs/>
          <w:szCs w:val="24"/>
        </w:rPr>
        <w:t>20</w:t>
      </w:r>
    </w:p>
    <w:p w:rsidR="000417D6" w:rsidRPr="009A4A86" w:rsidRDefault="000417D6" w:rsidP="00473A75">
      <w:pPr>
        <w:spacing w:after="0"/>
        <w:jc w:val="center"/>
        <w:rPr>
          <w:rFonts w:asciiTheme="majorHAnsi" w:hAnsiTheme="majorHAnsi" w:cstheme="majorHAnsi"/>
          <w:b/>
          <w:bCs/>
          <w:szCs w:val="24"/>
        </w:rPr>
      </w:pPr>
    </w:p>
    <w:p w:rsidR="00D87F80" w:rsidRPr="00B570D4" w:rsidRDefault="00D87F80" w:rsidP="00D87F80">
      <w:pPr>
        <w:pStyle w:val="Odstavekseznama"/>
        <w:numPr>
          <w:ilvl w:val="0"/>
          <w:numId w:val="2"/>
        </w:numPr>
        <w:spacing w:after="0"/>
        <w:jc w:val="center"/>
        <w:rPr>
          <w:rFonts w:asciiTheme="majorHAnsi" w:hAnsiTheme="majorHAnsi" w:cstheme="majorHAnsi"/>
          <w:b/>
          <w:szCs w:val="24"/>
        </w:rPr>
      </w:pPr>
      <w:r w:rsidRPr="00B570D4">
        <w:rPr>
          <w:rFonts w:asciiTheme="majorHAnsi" w:hAnsiTheme="majorHAnsi" w:cstheme="majorHAnsi"/>
          <w:b/>
          <w:szCs w:val="24"/>
        </w:rPr>
        <w:t>člen</w:t>
      </w:r>
    </w:p>
    <w:p w:rsidR="00D87F80" w:rsidRPr="00B570D4" w:rsidRDefault="00D87F80" w:rsidP="00D87F80">
      <w:pPr>
        <w:spacing w:after="0"/>
        <w:ind w:left="360"/>
        <w:jc w:val="center"/>
        <w:rPr>
          <w:rFonts w:asciiTheme="majorHAnsi" w:hAnsiTheme="majorHAnsi" w:cstheme="majorHAnsi"/>
          <w:b/>
          <w:szCs w:val="24"/>
        </w:rPr>
      </w:pP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Pogodbeni stranki uvodoma ugotavljata: </w:t>
      </w: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 da je Občina Ajdovščina lastnica nepremičnin, </w:t>
      </w:r>
      <w:proofErr w:type="spellStart"/>
      <w:r w:rsidRPr="00B570D4">
        <w:rPr>
          <w:rFonts w:asciiTheme="majorHAnsi" w:hAnsiTheme="majorHAnsi" w:cstheme="majorHAnsi"/>
          <w:szCs w:val="24"/>
        </w:rPr>
        <w:t>parc</w:t>
      </w:r>
      <w:proofErr w:type="spellEnd"/>
      <w:r w:rsidRPr="00B570D4">
        <w:rPr>
          <w:rFonts w:asciiTheme="majorHAnsi" w:hAnsiTheme="majorHAnsi" w:cstheme="majorHAnsi"/>
          <w:szCs w:val="24"/>
        </w:rPr>
        <w:t xml:space="preserve">. št. 1817/6 (32 m2) in  </w:t>
      </w:r>
      <w:proofErr w:type="spellStart"/>
      <w:r w:rsidRPr="00B570D4">
        <w:rPr>
          <w:rFonts w:asciiTheme="majorHAnsi" w:hAnsiTheme="majorHAnsi" w:cstheme="majorHAnsi"/>
          <w:szCs w:val="24"/>
        </w:rPr>
        <w:t>parc</w:t>
      </w:r>
      <w:proofErr w:type="spellEnd"/>
      <w:r w:rsidRPr="00B570D4">
        <w:rPr>
          <w:rFonts w:asciiTheme="majorHAnsi" w:hAnsiTheme="majorHAnsi" w:cstheme="majorHAnsi"/>
          <w:szCs w:val="24"/>
        </w:rPr>
        <w:t xml:space="preserve">. št.  1817/11 (103 m2), obe </w:t>
      </w:r>
      <w:proofErr w:type="spellStart"/>
      <w:r w:rsidRPr="00B570D4">
        <w:rPr>
          <w:rFonts w:asciiTheme="majorHAnsi" w:hAnsiTheme="majorHAnsi" w:cstheme="majorHAnsi"/>
          <w:szCs w:val="24"/>
        </w:rPr>
        <w:t>k.o</w:t>
      </w:r>
      <w:proofErr w:type="spellEnd"/>
      <w:r w:rsidRPr="00B570D4">
        <w:rPr>
          <w:rFonts w:asciiTheme="majorHAnsi" w:hAnsiTheme="majorHAnsi" w:cstheme="majorHAnsi"/>
          <w:szCs w:val="24"/>
        </w:rPr>
        <w:t>. 2394 Velike Žablje, ki sta v skladu z veljavnimi prostorskimi akti stavbni zemljišči, ki se nahajata na območju naselja Velike Žablje in sta pozidani z ruševino;</w:t>
      </w: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 da  je Občina Ajdovščina dne </w:t>
      </w:r>
      <w:r w:rsidR="002350C3">
        <w:rPr>
          <w:rFonts w:asciiTheme="majorHAnsi" w:hAnsiTheme="majorHAnsi" w:cstheme="majorHAnsi"/>
          <w:szCs w:val="24"/>
        </w:rPr>
        <w:t>18. 11. 2020</w:t>
      </w:r>
      <w:r w:rsidRPr="00B570D4">
        <w:rPr>
          <w:rFonts w:asciiTheme="majorHAnsi" w:hAnsiTheme="majorHAnsi" w:cstheme="majorHAnsi"/>
          <w:szCs w:val="24"/>
        </w:rPr>
        <w:t xml:space="preserve"> izvedla  javno dražbo za prodajo teh nepremičnin, ki je bila dne </w:t>
      </w:r>
      <w:r w:rsidR="002350C3">
        <w:rPr>
          <w:rFonts w:asciiTheme="majorHAnsi" w:hAnsiTheme="majorHAnsi" w:cstheme="majorHAnsi"/>
          <w:szCs w:val="24"/>
        </w:rPr>
        <w:t>27.10.2020,</w:t>
      </w:r>
      <w:r w:rsidRPr="00B570D4">
        <w:rPr>
          <w:rFonts w:asciiTheme="majorHAnsi" w:hAnsiTheme="majorHAnsi" w:cstheme="majorHAnsi"/>
          <w:szCs w:val="24"/>
        </w:rPr>
        <w:t xml:space="preserve"> objavljena na spletni strani Občine Ajdovščina v rubriki Javna naročila, objave razpisi/obvestila-občinske nepremičnine in na kateri je bil najuspešnejši dražitelj kupec po tej pogodbi, ki je tudi izpolnjeval vse dražbene pogoje in ponudil  kupnino v višini ………………………, na katero je upoštevajoč pogoje razpisne dokumentacije za javno dražbo, dolžan poravnati še davek na promet nepremičnin;</w:t>
      </w: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da je bila prodaja nepremičnin predvidena v Načrtih ravnanja s stvarnim premoženjem Občine Ajdovščina za leto 2020 in 2021.</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pStyle w:val="Odstavekseznama"/>
        <w:numPr>
          <w:ilvl w:val="0"/>
          <w:numId w:val="2"/>
        </w:numPr>
        <w:spacing w:after="0"/>
        <w:jc w:val="center"/>
        <w:rPr>
          <w:rFonts w:asciiTheme="majorHAnsi" w:hAnsiTheme="majorHAnsi" w:cstheme="majorHAnsi"/>
          <w:b/>
          <w:szCs w:val="24"/>
        </w:rPr>
      </w:pPr>
      <w:r w:rsidRPr="00B570D4">
        <w:rPr>
          <w:rFonts w:asciiTheme="majorHAnsi" w:hAnsiTheme="majorHAnsi" w:cstheme="majorHAnsi"/>
          <w:b/>
          <w:szCs w:val="24"/>
        </w:rPr>
        <w:t>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Občina Ajdovščina proda nepremičnini </w:t>
      </w:r>
      <w:proofErr w:type="spellStart"/>
      <w:r w:rsidRPr="00B570D4">
        <w:rPr>
          <w:rFonts w:asciiTheme="majorHAnsi" w:hAnsiTheme="majorHAnsi" w:cstheme="majorHAnsi"/>
          <w:szCs w:val="24"/>
        </w:rPr>
        <w:t>parc</w:t>
      </w:r>
      <w:proofErr w:type="spellEnd"/>
      <w:r w:rsidRPr="00B570D4">
        <w:rPr>
          <w:rFonts w:asciiTheme="majorHAnsi" w:hAnsiTheme="majorHAnsi" w:cstheme="majorHAnsi"/>
          <w:szCs w:val="24"/>
        </w:rPr>
        <w:t xml:space="preserve">. št. 1817/6 in  </w:t>
      </w:r>
      <w:proofErr w:type="spellStart"/>
      <w:r w:rsidRPr="00B570D4">
        <w:rPr>
          <w:rFonts w:asciiTheme="majorHAnsi" w:hAnsiTheme="majorHAnsi" w:cstheme="majorHAnsi"/>
          <w:szCs w:val="24"/>
        </w:rPr>
        <w:t>parc</w:t>
      </w:r>
      <w:proofErr w:type="spellEnd"/>
      <w:r w:rsidRPr="00B570D4">
        <w:rPr>
          <w:rFonts w:asciiTheme="majorHAnsi" w:hAnsiTheme="majorHAnsi" w:cstheme="majorHAnsi"/>
          <w:szCs w:val="24"/>
        </w:rPr>
        <w:t xml:space="preserve">. št. 1817/6, obe </w:t>
      </w:r>
      <w:proofErr w:type="spellStart"/>
      <w:r w:rsidRPr="00B570D4">
        <w:rPr>
          <w:rFonts w:asciiTheme="majorHAnsi" w:hAnsiTheme="majorHAnsi" w:cstheme="majorHAnsi"/>
          <w:szCs w:val="24"/>
        </w:rPr>
        <w:t>k.o</w:t>
      </w:r>
      <w:proofErr w:type="spellEnd"/>
      <w:r w:rsidRPr="00B570D4">
        <w:rPr>
          <w:rFonts w:asciiTheme="majorHAnsi" w:hAnsiTheme="majorHAnsi" w:cstheme="majorHAnsi"/>
          <w:szCs w:val="24"/>
        </w:rPr>
        <w:t xml:space="preserve">. 2394 Velike Žablje v celoti (delež 1/1), po skupni ceni, ki je bila dosežena na javni dražbi dne </w:t>
      </w:r>
      <w:r w:rsidR="002350C3">
        <w:rPr>
          <w:rFonts w:asciiTheme="majorHAnsi" w:hAnsiTheme="majorHAnsi" w:cstheme="majorHAnsi"/>
          <w:szCs w:val="24"/>
        </w:rPr>
        <w:t xml:space="preserve">18. 11. 2020, </w:t>
      </w:r>
      <w:r w:rsidRPr="00B570D4">
        <w:rPr>
          <w:rFonts w:asciiTheme="majorHAnsi" w:hAnsiTheme="majorHAnsi" w:cstheme="majorHAnsi"/>
          <w:szCs w:val="24"/>
        </w:rPr>
        <w:t xml:space="preserve"> to je  ………………….EUR, kupcu……………….. pa ti nepremičnini kupi in se zaveže plačevati vse nanju pripadajoče davke in druge prispevke, v kolikor bodo odmerjeni od dneva sklenitve te pogodbe dalje. Slednje ne velja za primer, v kolikor bi bila pogodba zaradi neplačila razdrta.</w:t>
      </w:r>
    </w:p>
    <w:p w:rsidR="00BB511E" w:rsidRPr="00B570D4" w:rsidRDefault="00BB511E" w:rsidP="00BB511E">
      <w:pPr>
        <w:spacing w:after="0"/>
        <w:jc w:val="both"/>
        <w:rPr>
          <w:rFonts w:asciiTheme="majorHAnsi" w:hAnsiTheme="majorHAnsi" w:cstheme="majorHAnsi"/>
          <w:szCs w:val="24"/>
        </w:rPr>
      </w:pP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Kupec nepremičnini kupuje po načelu videno-kupljeno, prodajalec pa ne odgovarja za stvarne in pravne napake predmeta prodaje. Prodajalec ne jamči za izmere površin, za stanje v naravi. </w:t>
      </w:r>
      <w:r w:rsidRPr="00B570D4">
        <w:rPr>
          <w:rFonts w:asciiTheme="majorHAnsi" w:hAnsiTheme="majorHAnsi" w:cstheme="majorHAnsi"/>
          <w:szCs w:val="24"/>
        </w:rPr>
        <w:lastRenderedPageBreak/>
        <w:t>Kupec sam prevzema obveznost odprave morebitnih pomanjkljivosti v zvezi s kvaliteto in obsegom prodaje ali morebitnih neusklajenosti med podatki v javnih evidencah in dejanskim stanjem.. Reklamacije po sklenitvi te pogodbe ne bodo upoštevane.</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Prodajalec bo kupcu izročil zemljiškoknjižno dovolilo najkasneje v 15 dneh  po plačilu celotne kupnine (3.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 xml:space="preserve">     3.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xml:space="preserve">Kupnina za nepremičnini  - parceli, ki sta  predmet prodaje po tej pogodbi,  je bila dosežena na javni dražbi in znaša </w:t>
      </w:r>
      <w:r w:rsidR="00B570D4">
        <w:rPr>
          <w:rFonts w:asciiTheme="majorHAnsi" w:hAnsiTheme="majorHAnsi" w:cstheme="majorHAnsi"/>
          <w:szCs w:val="24"/>
        </w:rPr>
        <w:t>……………. EUR</w:t>
      </w:r>
      <w:r w:rsidRPr="00B570D4">
        <w:rPr>
          <w:rFonts w:asciiTheme="majorHAnsi" w:hAnsiTheme="majorHAnsi" w:cstheme="majorHAnsi"/>
          <w:szCs w:val="24"/>
        </w:rPr>
        <w:t xml:space="preserve"> neto.</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Glede na površino parcel, je za posamično parcelo  višina kupnine, kot izhaja iz sledeče tabele:</w:t>
      </w: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 </w:t>
      </w:r>
    </w:p>
    <w:p w:rsidR="00BB511E" w:rsidRPr="00B570D4" w:rsidRDefault="00BB511E" w:rsidP="00BB511E">
      <w:pPr>
        <w:spacing w:after="0"/>
        <w:jc w:val="center"/>
        <w:rPr>
          <w:rFonts w:asciiTheme="majorHAnsi" w:hAnsiTheme="majorHAnsi" w:cstheme="majorHAnsi"/>
          <w:szCs w:val="24"/>
        </w:rPr>
      </w:pPr>
    </w:p>
    <w:tbl>
      <w:tblPr>
        <w:tblStyle w:val="Tabelamrea"/>
        <w:tblW w:w="0" w:type="auto"/>
        <w:tblLook w:val="04A0" w:firstRow="1" w:lastRow="0" w:firstColumn="1" w:lastColumn="0" w:noHBand="0" w:noVBand="1"/>
      </w:tblPr>
      <w:tblGrid>
        <w:gridCol w:w="2122"/>
        <w:gridCol w:w="1502"/>
        <w:gridCol w:w="1812"/>
        <w:gridCol w:w="1812"/>
        <w:gridCol w:w="1812"/>
      </w:tblGrid>
      <w:tr w:rsidR="00B570D4" w:rsidTr="00B570D4">
        <w:tc>
          <w:tcPr>
            <w:tcW w:w="212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 xml:space="preserve">Katastrska občina </w:t>
            </w:r>
          </w:p>
        </w:tc>
        <w:tc>
          <w:tcPr>
            <w:tcW w:w="1502" w:type="dxa"/>
          </w:tcPr>
          <w:p w:rsidR="00B570D4" w:rsidRDefault="00B570D4" w:rsidP="00BB511E">
            <w:pPr>
              <w:jc w:val="center"/>
              <w:rPr>
                <w:rFonts w:asciiTheme="majorHAnsi" w:hAnsiTheme="majorHAnsi" w:cstheme="majorHAnsi"/>
                <w:szCs w:val="24"/>
              </w:rPr>
            </w:pPr>
            <w:proofErr w:type="spellStart"/>
            <w:r>
              <w:rPr>
                <w:rFonts w:asciiTheme="majorHAnsi" w:hAnsiTheme="majorHAnsi" w:cstheme="majorHAnsi"/>
                <w:szCs w:val="24"/>
              </w:rPr>
              <w:t>Parc</w:t>
            </w:r>
            <w:proofErr w:type="spellEnd"/>
            <w:r>
              <w:rPr>
                <w:rFonts w:asciiTheme="majorHAnsi" w:hAnsiTheme="majorHAnsi" w:cstheme="majorHAnsi"/>
                <w:szCs w:val="24"/>
              </w:rPr>
              <w:t xml:space="preserve">. št. </w:t>
            </w:r>
          </w:p>
        </w:tc>
        <w:tc>
          <w:tcPr>
            <w:tcW w:w="181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velikost</w:t>
            </w:r>
          </w:p>
        </w:tc>
        <w:tc>
          <w:tcPr>
            <w:tcW w:w="181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Cena /m2</w:t>
            </w:r>
          </w:p>
        </w:tc>
        <w:tc>
          <w:tcPr>
            <w:tcW w:w="181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Cena skupaj</w:t>
            </w:r>
          </w:p>
        </w:tc>
      </w:tr>
      <w:tr w:rsidR="00B570D4" w:rsidTr="00B570D4">
        <w:tc>
          <w:tcPr>
            <w:tcW w:w="212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 xml:space="preserve">2394 </w:t>
            </w:r>
            <w:r w:rsidRPr="00B570D4">
              <w:rPr>
                <w:rFonts w:asciiTheme="majorHAnsi" w:hAnsiTheme="majorHAnsi" w:cstheme="majorHAnsi"/>
                <w:szCs w:val="24"/>
              </w:rPr>
              <w:t>Velike Žablje</w:t>
            </w:r>
          </w:p>
        </w:tc>
        <w:tc>
          <w:tcPr>
            <w:tcW w:w="150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1817/6</w:t>
            </w:r>
          </w:p>
        </w:tc>
        <w:tc>
          <w:tcPr>
            <w:tcW w:w="181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32</w:t>
            </w:r>
          </w:p>
        </w:tc>
        <w:tc>
          <w:tcPr>
            <w:tcW w:w="1812" w:type="dxa"/>
          </w:tcPr>
          <w:p w:rsidR="00B570D4" w:rsidRDefault="00B570D4" w:rsidP="00BB511E">
            <w:pPr>
              <w:jc w:val="center"/>
              <w:rPr>
                <w:rFonts w:asciiTheme="majorHAnsi" w:hAnsiTheme="majorHAnsi" w:cstheme="majorHAnsi"/>
                <w:szCs w:val="24"/>
              </w:rPr>
            </w:pPr>
          </w:p>
        </w:tc>
        <w:tc>
          <w:tcPr>
            <w:tcW w:w="1812" w:type="dxa"/>
          </w:tcPr>
          <w:p w:rsidR="00B570D4" w:rsidRDefault="00B570D4" w:rsidP="00BB511E">
            <w:pPr>
              <w:jc w:val="center"/>
              <w:rPr>
                <w:rFonts w:asciiTheme="majorHAnsi" w:hAnsiTheme="majorHAnsi" w:cstheme="majorHAnsi"/>
                <w:szCs w:val="24"/>
              </w:rPr>
            </w:pPr>
          </w:p>
        </w:tc>
      </w:tr>
      <w:tr w:rsidR="00B570D4" w:rsidTr="00B570D4">
        <w:tc>
          <w:tcPr>
            <w:tcW w:w="212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2394 Velike Žablje</w:t>
            </w:r>
          </w:p>
        </w:tc>
        <w:tc>
          <w:tcPr>
            <w:tcW w:w="150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1817/11</w:t>
            </w:r>
          </w:p>
        </w:tc>
        <w:tc>
          <w:tcPr>
            <w:tcW w:w="1812" w:type="dxa"/>
          </w:tcPr>
          <w:p w:rsidR="00B570D4" w:rsidRDefault="00B570D4" w:rsidP="00BB511E">
            <w:pPr>
              <w:jc w:val="center"/>
              <w:rPr>
                <w:rFonts w:asciiTheme="majorHAnsi" w:hAnsiTheme="majorHAnsi" w:cstheme="majorHAnsi"/>
                <w:szCs w:val="24"/>
              </w:rPr>
            </w:pPr>
            <w:r>
              <w:rPr>
                <w:rFonts w:asciiTheme="majorHAnsi" w:hAnsiTheme="majorHAnsi" w:cstheme="majorHAnsi"/>
                <w:szCs w:val="24"/>
              </w:rPr>
              <w:t>103</w:t>
            </w:r>
          </w:p>
        </w:tc>
        <w:tc>
          <w:tcPr>
            <w:tcW w:w="1812" w:type="dxa"/>
          </w:tcPr>
          <w:p w:rsidR="00B570D4" w:rsidRDefault="00B570D4" w:rsidP="00BB511E">
            <w:pPr>
              <w:jc w:val="center"/>
              <w:rPr>
                <w:rFonts w:asciiTheme="majorHAnsi" w:hAnsiTheme="majorHAnsi" w:cstheme="majorHAnsi"/>
                <w:szCs w:val="24"/>
              </w:rPr>
            </w:pPr>
          </w:p>
        </w:tc>
        <w:tc>
          <w:tcPr>
            <w:tcW w:w="1812" w:type="dxa"/>
          </w:tcPr>
          <w:p w:rsidR="00B570D4" w:rsidRDefault="00B570D4" w:rsidP="00BB511E">
            <w:pPr>
              <w:jc w:val="center"/>
              <w:rPr>
                <w:rFonts w:asciiTheme="majorHAnsi" w:hAnsiTheme="majorHAnsi" w:cstheme="majorHAnsi"/>
                <w:szCs w:val="24"/>
              </w:rPr>
            </w:pPr>
          </w:p>
        </w:tc>
      </w:tr>
    </w:tbl>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xml:space="preserve">Znesek neto kupnine bo kupec poravnal na podlagi izdanega računa, v roku zavedenem na računu, ki ne bo daljši od </w:t>
      </w:r>
      <w:r w:rsidR="00B570D4">
        <w:rPr>
          <w:rFonts w:asciiTheme="majorHAnsi" w:hAnsiTheme="majorHAnsi" w:cstheme="majorHAnsi"/>
          <w:szCs w:val="24"/>
        </w:rPr>
        <w:t>6</w:t>
      </w:r>
      <w:r w:rsidRPr="00B570D4">
        <w:rPr>
          <w:rFonts w:asciiTheme="majorHAnsi" w:hAnsiTheme="majorHAnsi" w:cstheme="majorHAnsi"/>
          <w:szCs w:val="24"/>
        </w:rPr>
        <w:t xml:space="preserve">0 dni.  Plačilo kupnine se zmanjša za že plačano varščino  v višini </w:t>
      </w:r>
      <w:r w:rsidR="00B570D4">
        <w:rPr>
          <w:rFonts w:asciiTheme="majorHAnsi" w:hAnsiTheme="majorHAnsi" w:cstheme="majorHAnsi"/>
          <w:szCs w:val="24"/>
        </w:rPr>
        <w:t>………… EUR</w:t>
      </w:r>
      <w:r w:rsidRPr="00B570D4">
        <w:rPr>
          <w:rFonts w:asciiTheme="majorHAnsi" w:hAnsiTheme="majorHAnsi" w:cstheme="majorHAnsi"/>
          <w:szCs w:val="24"/>
        </w:rPr>
        <w:t xml:space="preserve"> ki jo je kupec vplačal dne </w:t>
      </w:r>
      <w:r w:rsidR="00B570D4">
        <w:rPr>
          <w:rFonts w:asciiTheme="majorHAnsi" w:hAnsiTheme="majorHAnsi" w:cstheme="majorHAnsi"/>
          <w:szCs w:val="24"/>
        </w:rPr>
        <w:t>…………….</w:t>
      </w:r>
      <w:r w:rsidRPr="00B570D4">
        <w:rPr>
          <w:rFonts w:asciiTheme="majorHAnsi" w:hAnsiTheme="majorHAnsi" w:cstheme="majorHAnsi"/>
          <w:szCs w:val="24"/>
        </w:rPr>
        <w:t xml:space="preserve">,   tako da je kupec končno dolžan prodajalcu </w:t>
      </w:r>
      <w:r w:rsidR="002350C3" w:rsidRPr="00B570D4">
        <w:rPr>
          <w:rFonts w:asciiTheme="majorHAnsi" w:hAnsiTheme="majorHAnsi" w:cstheme="majorHAnsi"/>
          <w:szCs w:val="24"/>
        </w:rPr>
        <w:t xml:space="preserve">skupaj za plačilo </w:t>
      </w:r>
      <w:r w:rsidRPr="00B570D4">
        <w:rPr>
          <w:rFonts w:asciiTheme="majorHAnsi" w:hAnsiTheme="majorHAnsi" w:cstheme="majorHAnsi"/>
          <w:szCs w:val="24"/>
        </w:rPr>
        <w:t xml:space="preserve">še  </w:t>
      </w:r>
      <w:r w:rsidR="00B570D4">
        <w:rPr>
          <w:rFonts w:asciiTheme="majorHAnsi" w:hAnsiTheme="majorHAnsi" w:cstheme="majorHAnsi"/>
          <w:szCs w:val="24"/>
        </w:rPr>
        <w:t>………………. EUR</w:t>
      </w:r>
      <w:r w:rsidR="002350C3">
        <w:rPr>
          <w:rFonts w:asciiTheme="majorHAnsi" w:hAnsiTheme="majorHAnsi" w:cstheme="majorHAnsi"/>
          <w:szCs w:val="24"/>
        </w:rPr>
        <w:t>.</w:t>
      </w:r>
      <w:bookmarkStart w:id="0" w:name="_GoBack"/>
      <w:bookmarkEnd w:id="0"/>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Nepremičnini sta pozidani stavbni zemljišči in kot taki oproščeni plačila DDV oz. se promet s tovrstnimi nepremičninami obdavči z 2% davkom  na promet nepremičnin, ki ga nosi kupec. Plača ga neposredno na podlagi odločbe FURS.</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Plačilo celotne kupnine v roku je bistvena sestavina pogodbe, neplačilo v roku ima za posledico tudi zadržanje varščine!</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4.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Kupec se obvezuje poravnati tudi vse stroške v zvezi z realizacijo posla po tej pogodbi kot so overitev podpisa zakonitega zastopnika prodajalca in predlagati vknjižbo lastninske pravice v svojo korist. Slednje zaradi takojšnjega  predloga za vknjižbo odkupne pravice (5. člen) napravi pri notarju.</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Kupec se zavezuje, da  bo vknjižbo  lastninske pravice predlagal najkasneje v treh delovnih dneh po prejemu zemljiškoknjižnega dovolila. V kolikor tega v roku ne bo napravil, bo predlog vložil prodajalec, ter mu zaračunal s tem povezane stroške.</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center"/>
        <w:rPr>
          <w:rFonts w:asciiTheme="majorHAnsi" w:hAnsiTheme="majorHAnsi" w:cstheme="majorHAnsi"/>
          <w:szCs w:val="24"/>
        </w:rPr>
      </w:pPr>
      <w:r w:rsidRPr="00B570D4">
        <w:rPr>
          <w:rFonts w:asciiTheme="majorHAnsi" w:hAnsiTheme="majorHAnsi" w:cstheme="majorHAnsi"/>
          <w:szCs w:val="24"/>
        </w:rPr>
        <w:lastRenderedPageBreak/>
        <w:t>5.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Pogodba, pri kateri kdo v imenu in na račun druge pogodbene stranke, predstavniku ali posredniku organa ali organizacije iz javnega sektorja obljubi, ponudi ali da kakšno nedovoljeno korist za:</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pridobitev posla ali</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za sklenitev posla pod ugodnejšimi pogoji ali</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za opustitev dolžnega nadzora nad izvajanjem pogodbenih obveznosti ali</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rsidR="00BB511E" w:rsidRPr="00B570D4" w:rsidRDefault="00BB511E" w:rsidP="00BB511E">
      <w:pPr>
        <w:spacing w:after="0"/>
        <w:jc w:val="center"/>
        <w:rPr>
          <w:rFonts w:asciiTheme="majorHAnsi" w:hAnsiTheme="majorHAnsi" w:cstheme="majorHAnsi"/>
          <w:szCs w:val="24"/>
        </w:rPr>
      </w:pPr>
    </w:p>
    <w:p w:rsidR="00BB511E" w:rsidRPr="00B570D4" w:rsidRDefault="00B570D4" w:rsidP="00BB511E">
      <w:pPr>
        <w:spacing w:after="0"/>
        <w:jc w:val="center"/>
        <w:rPr>
          <w:rFonts w:asciiTheme="majorHAnsi" w:hAnsiTheme="majorHAnsi" w:cstheme="majorHAnsi"/>
          <w:szCs w:val="24"/>
        </w:rPr>
      </w:pPr>
      <w:r>
        <w:rPr>
          <w:rFonts w:asciiTheme="majorHAnsi" w:hAnsiTheme="majorHAnsi" w:cstheme="majorHAnsi"/>
          <w:szCs w:val="24"/>
        </w:rPr>
        <w:t>6</w:t>
      </w:r>
      <w:r w:rsidR="00BB511E" w:rsidRPr="00B570D4">
        <w:rPr>
          <w:rFonts w:asciiTheme="majorHAnsi" w:hAnsiTheme="majorHAnsi" w:cstheme="majorHAnsi"/>
          <w:szCs w:val="24"/>
        </w:rPr>
        <w:t>.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Ta pogodba je sklenjena, ko jo podpišeta obe pogodbeni stranki in je sestavljena v štirih izvodih in sicer prejme vsaka stranka po dva izvoda.</w:t>
      </w:r>
    </w:p>
    <w:p w:rsidR="00473A75" w:rsidRPr="00B570D4" w:rsidRDefault="00473A75" w:rsidP="00473A75">
      <w:pPr>
        <w:spacing w:after="0"/>
        <w:jc w:val="center"/>
        <w:rPr>
          <w:rFonts w:asciiTheme="majorHAnsi" w:hAnsiTheme="majorHAnsi" w:cstheme="majorHAnsi"/>
          <w:bCs/>
          <w:szCs w:val="24"/>
        </w:rPr>
      </w:pPr>
    </w:p>
    <w:p w:rsidR="00473A75" w:rsidRPr="00B570D4" w:rsidRDefault="00473A75" w:rsidP="00473A75">
      <w:pPr>
        <w:tabs>
          <w:tab w:val="left" w:pos="1418"/>
        </w:tabs>
        <w:spacing w:after="0"/>
        <w:rPr>
          <w:rFonts w:asciiTheme="majorHAnsi" w:hAnsiTheme="majorHAnsi" w:cstheme="majorHAnsi"/>
          <w:szCs w:val="24"/>
        </w:rPr>
      </w:pPr>
      <w:r w:rsidRPr="00B570D4">
        <w:rPr>
          <w:rFonts w:asciiTheme="majorHAnsi" w:hAnsiTheme="majorHAnsi" w:cstheme="majorHAnsi"/>
          <w:szCs w:val="24"/>
        </w:rPr>
        <w:tab/>
        <w:t>Številka: 478-</w:t>
      </w:r>
      <w:r w:rsidR="00B570D4">
        <w:rPr>
          <w:rFonts w:asciiTheme="majorHAnsi" w:hAnsiTheme="majorHAnsi" w:cstheme="majorHAnsi"/>
          <w:szCs w:val="24"/>
        </w:rPr>
        <w:t>173</w:t>
      </w:r>
      <w:r w:rsidR="00612A32" w:rsidRPr="00B570D4">
        <w:rPr>
          <w:rFonts w:asciiTheme="majorHAnsi" w:hAnsiTheme="majorHAnsi" w:cstheme="majorHAnsi"/>
          <w:szCs w:val="24"/>
        </w:rPr>
        <w:t>/20</w:t>
      </w:r>
      <w:r w:rsidR="00B570D4">
        <w:rPr>
          <w:rFonts w:asciiTheme="majorHAnsi" w:hAnsiTheme="majorHAnsi" w:cstheme="majorHAnsi"/>
          <w:szCs w:val="24"/>
        </w:rPr>
        <w:t>20</w:t>
      </w:r>
    </w:p>
    <w:p w:rsidR="00473A75" w:rsidRPr="00B570D4" w:rsidRDefault="00473A75" w:rsidP="00473A75">
      <w:pPr>
        <w:tabs>
          <w:tab w:val="left" w:pos="1418"/>
        </w:tabs>
        <w:spacing w:after="0"/>
        <w:rPr>
          <w:rFonts w:asciiTheme="majorHAnsi" w:hAnsiTheme="majorHAnsi" w:cstheme="majorHAnsi"/>
          <w:szCs w:val="24"/>
        </w:rPr>
      </w:pPr>
      <w:r w:rsidRPr="00B570D4">
        <w:rPr>
          <w:rFonts w:asciiTheme="majorHAnsi" w:hAnsiTheme="majorHAnsi" w:cstheme="majorHAnsi"/>
          <w:szCs w:val="24"/>
        </w:rPr>
        <w:tab/>
        <w:t xml:space="preserve">Datum: </w:t>
      </w:r>
    </w:p>
    <w:p w:rsidR="00473A75" w:rsidRPr="00B570D4" w:rsidRDefault="00473A75" w:rsidP="00473A75">
      <w:pPr>
        <w:spacing w:after="0"/>
        <w:jc w:val="center"/>
        <w:rPr>
          <w:rFonts w:asciiTheme="majorHAnsi" w:hAnsiTheme="majorHAnsi" w:cstheme="majorHAnsi"/>
          <w:szCs w:val="24"/>
        </w:rPr>
      </w:pPr>
    </w:p>
    <w:p w:rsidR="00473A75" w:rsidRPr="00B570D4" w:rsidRDefault="00473A75" w:rsidP="00473A75">
      <w:pPr>
        <w:tabs>
          <w:tab w:val="left" w:pos="1418"/>
          <w:tab w:val="left" w:pos="6521"/>
        </w:tabs>
        <w:spacing w:after="0"/>
        <w:rPr>
          <w:rFonts w:asciiTheme="majorHAnsi" w:hAnsiTheme="majorHAnsi" w:cstheme="majorHAnsi"/>
          <w:szCs w:val="24"/>
        </w:rPr>
      </w:pPr>
      <w:r w:rsidRPr="00B570D4">
        <w:rPr>
          <w:rFonts w:asciiTheme="majorHAnsi" w:hAnsiTheme="majorHAnsi" w:cstheme="majorHAnsi"/>
          <w:szCs w:val="24"/>
        </w:rPr>
        <w:tab/>
      </w:r>
      <w:r w:rsidRPr="00B570D4">
        <w:rPr>
          <w:rFonts w:asciiTheme="majorHAnsi" w:hAnsiTheme="majorHAnsi" w:cstheme="majorHAnsi"/>
          <w:szCs w:val="24"/>
        </w:rPr>
        <w:tab/>
        <w:t xml:space="preserve"> </w:t>
      </w:r>
    </w:p>
    <w:p w:rsidR="00473A75" w:rsidRPr="00B570D4" w:rsidRDefault="00402CB3" w:rsidP="00473A75">
      <w:pPr>
        <w:tabs>
          <w:tab w:val="left" w:pos="1418"/>
          <w:tab w:val="left" w:pos="6521"/>
        </w:tabs>
        <w:spacing w:after="0"/>
        <w:ind w:left="3600" w:hanging="3600"/>
        <w:rPr>
          <w:rFonts w:asciiTheme="majorHAnsi" w:hAnsiTheme="majorHAnsi" w:cstheme="majorHAnsi"/>
          <w:szCs w:val="24"/>
        </w:rPr>
      </w:pPr>
      <w:r w:rsidRPr="00B570D4">
        <w:rPr>
          <w:rFonts w:asciiTheme="majorHAnsi" w:hAnsiTheme="majorHAnsi" w:cstheme="majorHAnsi"/>
          <w:szCs w:val="24"/>
        </w:rPr>
        <w:tab/>
        <w:t xml:space="preserve">Občina Ajdovščina </w:t>
      </w:r>
      <w:r w:rsidRPr="00B570D4">
        <w:rPr>
          <w:rFonts w:asciiTheme="majorHAnsi" w:hAnsiTheme="majorHAnsi" w:cstheme="majorHAnsi"/>
          <w:szCs w:val="24"/>
        </w:rPr>
        <w:tab/>
        <w:t xml:space="preserve">                                        </w:t>
      </w:r>
    </w:p>
    <w:p w:rsidR="00C17055" w:rsidRPr="00B570D4" w:rsidRDefault="00402CB3" w:rsidP="00C20688">
      <w:pPr>
        <w:tabs>
          <w:tab w:val="left" w:pos="1418"/>
          <w:tab w:val="left" w:pos="6521"/>
        </w:tabs>
        <w:spacing w:after="0"/>
        <w:rPr>
          <w:rFonts w:asciiTheme="majorHAnsi" w:hAnsiTheme="majorHAnsi" w:cstheme="majorHAnsi"/>
          <w:szCs w:val="24"/>
        </w:rPr>
      </w:pPr>
      <w:r w:rsidRPr="00B570D4">
        <w:rPr>
          <w:rFonts w:asciiTheme="majorHAnsi" w:hAnsiTheme="majorHAnsi" w:cstheme="majorHAnsi"/>
          <w:szCs w:val="24"/>
        </w:rPr>
        <w:tab/>
        <w:t xml:space="preserve">župan Tadej Beočanin                                        </w:t>
      </w:r>
      <w:r w:rsidR="00B570D4">
        <w:rPr>
          <w:rFonts w:asciiTheme="majorHAnsi" w:hAnsiTheme="majorHAnsi" w:cstheme="majorHAnsi"/>
          <w:szCs w:val="24"/>
        </w:rPr>
        <w:t>kupec</w:t>
      </w:r>
      <w:r w:rsidR="008629C3" w:rsidRPr="00B570D4">
        <w:rPr>
          <w:rFonts w:asciiTheme="majorHAnsi" w:hAnsiTheme="majorHAnsi" w:cstheme="majorHAnsi"/>
          <w:szCs w:val="24"/>
        </w:rPr>
        <w:t xml:space="preserve"> </w:t>
      </w:r>
      <w:r w:rsidR="00473A75" w:rsidRPr="00B570D4">
        <w:rPr>
          <w:rFonts w:asciiTheme="majorHAnsi" w:hAnsiTheme="majorHAnsi" w:cstheme="majorHAnsi"/>
          <w:bCs/>
          <w:szCs w:val="24"/>
        </w:rPr>
        <w:t xml:space="preserve">                                                                                 </w:t>
      </w:r>
    </w:p>
    <w:sectPr w:rsidR="00C17055" w:rsidRPr="00B570D4" w:rsidSect="00800776">
      <w:headerReference w:type="first" r:id="rId7"/>
      <w:pgSz w:w="11906" w:h="16838"/>
      <w:pgMar w:top="204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417" w:rsidRDefault="00144417" w:rsidP="002E4CC2">
      <w:pPr>
        <w:spacing w:after="0" w:line="240" w:lineRule="auto"/>
      </w:pPr>
      <w:r>
        <w:separator/>
      </w:r>
    </w:p>
  </w:endnote>
  <w:endnote w:type="continuationSeparator" w:id="0">
    <w:p w:rsidR="00144417" w:rsidRDefault="00144417" w:rsidP="002E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panose1 w:val="02000000000000000000"/>
    <w:charset w:val="00"/>
    <w:family w:val="modern"/>
    <w:notTrueType/>
    <w:pitch w:val="variable"/>
    <w:sig w:usb0="800000AF" w:usb1="40000048"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417" w:rsidRDefault="00144417" w:rsidP="002E4CC2">
      <w:pPr>
        <w:spacing w:after="0" w:line="240" w:lineRule="auto"/>
      </w:pPr>
      <w:r>
        <w:separator/>
      </w:r>
    </w:p>
  </w:footnote>
  <w:footnote w:type="continuationSeparator" w:id="0">
    <w:p w:rsidR="00144417" w:rsidRDefault="00144417" w:rsidP="002E4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CC2" w:rsidRDefault="002E4CC2">
    <w:pPr>
      <w:pStyle w:val="Glava"/>
    </w:pPr>
    <w:r w:rsidRPr="002E4CC2">
      <w:rPr>
        <w:rFonts w:ascii="Calibri" w:eastAsia="Calibri" w:hAnsi="Calibri" w:cs="Times New Roman"/>
        <w:noProof/>
        <w:sz w:val="22"/>
        <w:lang w:eastAsia="sl-SI"/>
      </w:rPr>
      <w:drawing>
        <wp:anchor distT="0" distB="0" distL="114300" distR="114300" simplePos="0" relativeHeight="251659264" behindDoc="1" locked="1" layoutInCell="1" allowOverlap="1" wp14:anchorId="3380B007" wp14:editId="6AEDD5C8">
          <wp:simplePos x="0" y="0"/>
          <wp:positionH relativeFrom="page">
            <wp:posOffset>5080</wp:posOffset>
          </wp:positionH>
          <wp:positionV relativeFrom="page">
            <wp:posOffset>11430</wp:posOffset>
          </wp:positionV>
          <wp:extent cx="7546975" cy="1067435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812D8"/>
    <w:multiLevelType w:val="hybridMultilevel"/>
    <w:tmpl w:val="6C1862C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26A13F7"/>
    <w:multiLevelType w:val="hybridMultilevel"/>
    <w:tmpl w:val="02B678EA"/>
    <w:lvl w:ilvl="0" w:tplc="C34E3372">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D9214F"/>
    <w:multiLevelType w:val="hybridMultilevel"/>
    <w:tmpl w:val="8848A0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C2"/>
    <w:rsid w:val="000417D6"/>
    <w:rsid w:val="001442DA"/>
    <w:rsid w:val="00144417"/>
    <w:rsid w:val="00191B41"/>
    <w:rsid w:val="001A5163"/>
    <w:rsid w:val="001C7765"/>
    <w:rsid w:val="002350C3"/>
    <w:rsid w:val="002E4CC2"/>
    <w:rsid w:val="00402CB3"/>
    <w:rsid w:val="00473A75"/>
    <w:rsid w:val="004B4090"/>
    <w:rsid w:val="004E4689"/>
    <w:rsid w:val="005D7630"/>
    <w:rsid w:val="00612A32"/>
    <w:rsid w:val="00660F92"/>
    <w:rsid w:val="006C02B9"/>
    <w:rsid w:val="00800776"/>
    <w:rsid w:val="00834738"/>
    <w:rsid w:val="008629C3"/>
    <w:rsid w:val="009A4A86"/>
    <w:rsid w:val="00AE7E25"/>
    <w:rsid w:val="00B151B3"/>
    <w:rsid w:val="00B570D4"/>
    <w:rsid w:val="00B64C72"/>
    <w:rsid w:val="00BA7483"/>
    <w:rsid w:val="00BB511E"/>
    <w:rsid w:val="00C121A6"/>
    <w:rsid w:val="00C17055"/>
    <w:rsid w:val="00C20688"/>
    <w:rsid w:val="00CA7BC1"/>
    <w:rsid w:val="00D87F80"/>
    <w:rsid w:val="00E85156"/>
    <w:rsid w:val="00E859E3"/>
    <w:rsid w:val="00EB09BF"/>
    <w:rsid w:val="00ED04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9926"/>
  <w15:chartTrackingRefBased/>
  <w15:docId w15:val="{9CB741C3-6B08-4094-8369-4FFA7A39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E4CC2"/>
    <w:pPr>
      <w:tabs>
        <w:tab w:val="center" w:pos="4536"/>
        <w:tab w:val="right" w:pos="9072"/>
      </w:tabs>
      <w:spacing w:after="0" w:line="240" w:lineRule="auto"/>
    </w:pPr>
  </w:style>
  <w:style w:type="character" w:customStyle="1" w:styleId="GlavaZnak">
    <w:name w:val="Glava Znak"/>
    <w:basedOn w:val="Privzetapisavaodstavka"/>
    <w:link w:val="Glava"/>
    <w:uiPriority w:val="99"/>
    <w:rsid w:val="002E4CC2"/>
    <w:rPr>
      <w:lang w:val="sl-SI"/>
    </w:rPr>
  </w:style>
  <w:style w:type="paragraph" w:styleId="Noga">
    <w:name w:val="footer"/>
    <w:basedOn w:val="Navaden"/>
    <w:link w:val="NogaZnak"/>
    <w:uiPriority w:val="99"/>
    <w:unhideWhenUsed/>
    <w:rsid w:val="002E4CC2"/>
    <w:pPr>
      <w:tabs>
        <w:tab w:val="center" w:pos="4536"/>
        <w:tab w:val="right" w:pos="9072"/>
      </w:tabs>
      <w:spacing w:after="0" w:line="240" w:lineRule="auto"/>
    </w:pPr>
  </w:style>
  <w:style w:type="character" w:customStyle="1" w:styleId="NogaZnak">
    <w:name w:val="Noga Znak"/>
    <w:basedOn w:val="Privzetapisavaodstavka"/>
    <w:link w:val="Noga"/>
    <w:uiPriority w:val="99"/>
    <w:rsid w:val="002E4CC2"/>
    <w:rPr>
      <w:lang w:val="sl-SI"/>
    </w:rPr>
  </w:style>
  <w:style w:type="paragraph" w:styleId="Odstavekseznama">
    <w:name w:val="List Paragraph"/>
    <w:basedOn w:val="Navaden"/>
    <w:uiPriority w:val="34"/>
    <w:qFormat/>
    <w:rsid w:val="00473A75"/>
    <w:pPr>
      <w:ind w:left="720"/>
      <w:contextualSpacing/>
    </w:pPr>
  </w:style>
  <w:style w:type="table" w:styleId="Tabelamrea">
    <w:name w:val="Table Grid"/>
    <w:basedOn w:val="Navadnatabela"/>
    <w:uiPriority w:val="39"/>
    <w:rsid w:val="00B5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92458">
      <w:bodyDiv w:val="1"/>
      <w:marLeft w:val="0"/>
      <w:marRight w:val="0"/>
      <w:marTop w:val="0"/>
      <w:marBottom w:val="0"/>
      <w:divBdr>
        <w:top w:val="none" w:sz="0" w:space="0" w:color="auto"/>
        <w:left w:val="none" w:sz="0" w:space="0" w:color="auto"/>
        <w:bottom w:val="none" w:sz="0" w:space="0" w:color="auto"/>
        <w:right w:val="none" w:sz="0" w:space="0" w:color="auto"/>
      </w:divBdr>
    </w:div>
    <w:div w:id="568687794">
      <w:bodyDiv w:val="1"/>
      <w:marLeft w:val="0"/>
      <w:marRight w:val="0"/>
      <w:marTop w:val="0"/>
      <w:marBottom w:val="0"/>
      <w:divBdr>
        <w:top w:val="none" w:sz="0" w:space="0" w:color="auto"/>
        <w:left w:val="none" w:sz="0" w:space="0" w:color="auto"/>
        <w:bottom w:val="none" w:sz="0" w:space="0" w:color="auto"/>
        <w:right w:val="none" w:sz="0" w:space="0" w:color="auto"/>
      </w:divBdr>
    </w:div>
    <w:div w:id="118359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4229</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Barbara Regulj</cp:lastModifiedBy>
  <cp:revision>2</cp:revision>
  <dcterms:created xsi:type="dcterms:W3CDTF">2020-10-27T06:46:00Z</dcterms:created>
  <dcterms:modified xsi:type="dcterms:W3CDTF">2020-10-27T06:46:00Z</dcterms:modified>
</cp:coreProperties>
</file>